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i w:val="0"/>
          <w:color w:val="FF0000"/>
          <w:kern w:val="0"/>
          <w:sz w:val="36"/>
          <w:szCs w:val="36"/>
          <w:lang w:val="en-US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AE00AE"/>
          <w:kern w:val="0"/>
          <w:sz w:val="36"/>
          <w:szCs w:val="36"/>
          <w:lang w:val="en-US" w:eastAsia="zh-CN" w:bidi="ar"/>
        </w:rPr>
        <w:t>MODBUS协议功能码简述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E00AE"/>
          <w:kern w:val="0"/>
          <w:sz w:val="24"/>
          <w:szCs w:val="24"/>
          <w:lang w:val="en-US" w:eastAsia="zh-CN" w:bidi="ar"/>
        </w:rPr>
        <w:t>1.MODBUS功能码简述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  <w:t>    下表列出MODBUS支持的部分功能代码：以十进制表示。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  <w:t>表1.1 MODBUS部分功能码</w:t>
      </w:r>
    </w:p>
    <w:tbl>
      <w:tblPr>
        <w:tblStyle w:val="10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25"/>
        <w:gridCol w:w="1900"/>
        <w:gridCol w:w="1960"/>
        <w:gridCol w:w="1540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18" w:hRule="atLeast"/>
        </w:trPr>
        <w:tc>
          <w:tcPr>
            <w:tcW w:w="7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1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中文名称</w:t>
            </w:r>
          </w:p>
        </w:tc>
        <w:tc>
          <w:tcPr>
            <w:tcW w:w="19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寄存器PLC地址</w:t>
            </w:r>
          </w:p>
        </w:tc>
        <w:tc>
          <w:tcPr>
            <w:tcW w:w="154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位操作/字操作</w:t>
            </w:r>
          </w:p>
        </w:tc>
        <w:tc>
          <w:tcPr>
            <w:tcW w:w="17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操作数量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读线圈状态</w:t>
            </w:r>
          </w:p>
        </w:tc>
        <w:tc>
          <w:tcPr>
            <w:tcW w:w="19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00001-09999</w:t>
            </w:r>
          </w:p>
        </w:tc>
        <w:tc>
          <w:tcPr>
            <w:tcW w:w="154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位操作</w:t>
            </w:r>
          </w:p>
        </w:tc>
        <w:tc>
          <w:tcPr>
            <w:tcW w:w="17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单个或多个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读离散输入状态</w:t>
            </w:r>
          </w:p>
        </w:tc>
        <w:tc>
          <w:tcPr>
            <w:tcW w:w="19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10001-19999</w:t>
            </w:r>
          </w:p>
        </w:tc>
        <w:tc>
          <w:tcPr>
            <w:tcW w:w="154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位操作</w:t>
            </w:r>
          </w:p>
        </w:tc>
        <w:tc>
          <w:tcPr>
            <w:tcW w:w="17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单个或多个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读保持寄存器</w:t>
            </w:r>
          </w:p>
        </w:tc>
        <w:tc>
          <w:tcPr>
            <w:tcW w:w="19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40001-49999</w:t>
            </w:r>
          </w:p>
        </w:tc>
        <w:tc>
          <w:tcPr>
            <w:tcW w:w="154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字操作</w:t>
            </w:r>
          </w:p>
        </w:tc>
        <w:tc>
          <w:tcPr>
            <w:tcW w:w="17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单个或多个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读输入寄存器</w:t>
            </w:r>
          </w:p>
        </w:tc>
        <w:tc>
          <w:tcPr>
            <w:tcW w:w="19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30001-39999</w:t>
            </w:r>
          </w:p>
        </w:tc>
        <w:tc>
          <w:tcPr>
            <w:tcW w:w="154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字操作</w:t>
            </w:r>
          </w:p>
        </w:tc>
        <w:tc>
          <w:tcPr>
            <w:tcW w:w="17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单个或多个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写单个线圈</w:t>
            </w:r>
          </w:p>
        </w:tc>
        <w:tc>
          <w:tcPr>
            <w:tcW w:w="19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00001-09999</w:t>
            </w:r>
          </w:p>
        </w:tc>
        <w:tc>
          <w:tcPr>
            <w:tcW w:w="154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位操作</w:t>
            </w:r>
          </w:p>
        </w:tc>
        <w:tc>
          <w:tcPr>
            <w:tcW w:w="17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单个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写单个保持寄存器</w:t>
            </w:r>
          </w:p>
        </w:tc>
        <w:tc>
          <w:tcPr>
            <w:tcW w:w="19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40001-49999</w:t>
            </w:r>
          </w:p>
        </w:tc>
        <w:tc>
          <w:tcPr>
            <w:tcW w:w="154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字操作</w:t>
            </w:r>
          </w:p>
        </w:tc>
        <w:tc>
          <w:tcPr>
            <w:tcW w:w="17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单个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写多个线圈</w:t>
            </w:r>
          </w:p>
        </w:tc>
        <w:tc>
          <w:tcPr>
            <w:tcW w:w="19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00001-09999</w:t>
            </w:r>
          </w:p>
        </w:tc>
        <w:tc>
          <w:tcPr>
            <w:tcW w:w="154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位操作</w:t>
            </w:r>
          </w:p>
        </w:tc>
        <w:tc>
          <w:tcPr>
            <w:tcW w:w="17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多个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98" w:hRule="atLeast"/>
        </w:trPr>
        <w:tc>
          <w:tcPr>
            <w:tcW w:w="7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写多个保持寄存器</w:t>
            </w:r>
          </w:p>
        </w:tc>
        <w:tc>
          <w:tcPr>
            <w:tcW w:w="19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40001-49999</w:t>
            </w:r>
          </w:p>
        </w:tc>
        <w:tc>
          <w:tcPr>
            <w:tcW w:w="154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字操作</w:t>
            </w:r>
          </w:p>
        </w:tc>
        <w:tc>
          <w:tcPr>
            <w:tcW w:w="17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多个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E00AE"/>
          <w:kern w:val="0"/>
          <w:sz w:val="24"/>
          <w:szCs w:val="24"/>
          <w:lang w:val="en-US" w:eastAsia="zh-CN" w:bidi="ar"/>
        </w:rPr>
        <w:t>1.1功能码说明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  <w:t>    功能码可以分为位操作和字操作两类。位操作的最小单位为BIT，字操作的最小单位为两个字节。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  <w:t>        【位操作指令】    读线圈状态01H，读(离散)输入状态02H，写单个线圈06H和写多个线圈0FH。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  <w:t>        【字操作指令】    读保持寄存器03H，写单个寄存器06H，写多个保持寄存器10H。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E00AE"/>
          <w:kern w:val="0"/>
          <w:sz w:val="24"/>
          <w:szCs w:val="24"/>
          <w:lang w:val="en-US" w:eastAsia="zh-CN" w:bidi="ar"/>
        </w:rPr>
        <w:t>1.2寄存器地址分配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  <w:t>表1.2 MODBUS寄存器地址分配</w:t>
      </w:r>
    </w:p>
    <w:tbl>
      <w:tblPr>
        <w:tblStyle w:val="10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15"/>
        <w:gridCol w:w="1860"/>
        <w:gridCol w:w="1360"/>
        <w:gridCol w:w="1307"/>
        <w:gridCol w:w="12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1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寄存器PLC地址</w:t>
            </w:r>
          </w:p>
        </w:tc>
        <w:tc>
          <w:tcPr>
            <w:tcW w:w="18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寄存器协议地址</w:t>
            </w:r>
          </w:p>
        </w:tc>
        <w:tc>
          <w:tcPr>
            <w:tcW w:w="13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适用功能</w:t>
            </w:r>
          </w:p>
        </w:tc>
        <w:tc>
          <w:tcPr>
            <w:tcW w:w="130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寄存器种类</w:t>
            </w:r>
          </w:p>
        </w:tc>
        <w:tc>
          <w:tcPr>
            <w:tcW w:w="128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读写状态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1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00001-09999</w:t>
            </w:r>
          </w:p>
        </w:tc>
        <w:tc>
          <w:tcPr>
            <w:tcW w:w="18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0000H-FFFFH</w:t>
            </w:r>
          </w:p>
        </w:tc>
        <w:tc>
          <w:tcPr>
            <w:tcW w:w="13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01H 05H 0FH</w:t>
            </w:r>
          </w:p>
        </w:tc>
        <w:tc>
          <w:tcPr>
            <w:tcW w:w="130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线圈状态</w:t>
            </w:r>
          </w:p>
        </w:tc>
        <w:tc>
          <w:tcPr>
            <w:tcW w:w="128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可读可写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1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10001-19999</w:t>
            </w:r>
          </w:p>
        </w:tc>
        <w:tc>
          <w:tcPr>
            <w:tcW w:w="18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0000H-FFFFH</w:t>
            </w:r>
          </w:p>
        </w:tc>
        <w:tc>
          <w:tcPr>
            <w:tcW w:w="13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02H</w:t>
            </w:r>
          </w:p>
        </w:tc>
        <w:tc>
          <w:tcPr>
            <w:tcW w:w="130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离散输入状态</w:t>
            </w:r>
          </w:p>
        </w:tc>
        <w:tc>
          <w:tcPr>
            <w:tcW w:w="128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可读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1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30001-39999</w:t>
            </w:r>
          </w:p>
        </w:tc>
        <w:tc>
          <w:tcPr>
            <w:tcW w:w="18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0000H-FFFFH</w:t>
            </w:r>
          </w:p>
        </w:tc>
        <w:tc>
          <w:tcPr>
            <w:tcW w:w="13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04H</w:t>
            </w:r>
          </w:p>
        </w:tc>
        <w:tc>
          <w:tcPr>
            <w:tcW w:w="130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输入寄存器</w:t>
            </w:r>
          </w:p>
        </w:tc>
        <w:tc>
          <w:tcPr>
            <w:tcW w:w="128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可读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1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40001-49999</w:t>
            </w:r>
          </w:p>
        </w:tc>
        <w:tc>
          <w:tcPr>
            <w:tcW w:w="18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0000H-FFFFH</w:t>
            </w:r>
          </w:p>
        </w:tc>
        <w:tc>
          <w:tcPr>
            <w:tcW w:w="136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03H 06H 0FH</w:t>
            </w:r>
          </w:p>
        </w:tc>
        <w:tc>
          <w:tcPr>
            <w:tcW w:w="130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保持寄存器</w:t>
            </w:r>
          </w:p>
        </w:tc>
        <w:tc>
          <w:tcPr>
            <w:tcW w:w="1283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line="16" w:lineRule="atLeas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  <w:t>可读可写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bCs w:val="0"/>
          <w:color w:val="454545"/>
          <w:sz w:val="24"/>
          <w:szCs w:val="24"/>
        </w:rPr>
      </w:pPr>
      <w:bookmarkStart w:id="0" w:name="_GoBack"/>
      <w:bookmarkEnd w:id="0"/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5238115" cy="2846070"/>
            <wp:effectExtent l="0" t="0" r="698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drawing>
          <wp:inline distT="0" distB="0" distL="114300" distR="114300">
            <wp:extent cx="5238115" cy="2821940"/>
            <wp:effectExtent l="0" t="0" r="6985" b="1016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drawing>
          <wp:inline distT="0" distB="0" distL="114300" distR="114300">
            <wp:extent cx="5231765" cy="2419350"/>
            <wp:effectExtent l="0" t="0" r="635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drawing>
          <wp:inline distT="0" distB="0" distL="114300" distR="114300">
            <wp:extent cx="5231765" cy="2434590"/>
            <wp:effectExtent l="0" t="0" r="635" b="381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drawing>
          <wp:inline distT="0" distB="0" distL="114300" distR="114300">
            <wp:extent cx="5234305" cy="2996565"/>
            <wp:effectExtent l="0" t="0" r="10795" b="6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36210" cy="2852420"/>
            <wp:effectExtent l="0" t="0" r="8890" b="508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2E595B"/>
    <w:rsid w:val="00D42736"/>
    <w:rsid w:val="01D24DE2"/>
    <w:rsid w:val="01ED215D"/>
    <w:rsid w:val="02C61195"/>
    <w:rsid w:val="032A2621"/>
    <w:rsid w:val="03BB14A8"/>
    <w:rsid w:val="04D90675"/>
    <w:rsid w:val="04FD722D"/>
    <w:rsid w:val="05044B12"/>
    <w:rsid w:val="05865210"/>
    <w:rsid w:val="05A83398"/>
    <w:rsid w:val="05F21131"/>
    <w:rsid w:val="086C5A76"/>
    <w:rsid w:val="09283578"/>
    <w:rsid w:val="0A435DAC"/>
    <w:rsid w:val="0A786E94"/>
    <w:rsid w:val="0B3A03BF"/>
    <w:rsid w:val="0C025764"/>
    <w:rsid w:val="0D094A54"/>
    <w:rsid w:val="0E7844F8"/>
    <w:rsid w:val="0EA763E1"/>
    <w:rsid w:val="0EFB6A85"/>
    <w:rsid w:val="0EFF1F17"/>
    <w:rsid w:val="0F287763"/>
    <w:rsid w:val="104E0A21"/>
    <w:rsid w:val="108B0C88"/>
    <w:rsid w:val="10956A08"/>
    <w:rsid w:val="10B91D30"/>
    <w:rsid w:val="10C4631F"/>
    <w:rsid w:val="115E06F5"/>
    <w:rsid w:val="119D5677"/>
    <w:rsid w:val="128072E0"/>
    <w:rsid w:val="14016A3D"/>
    <w:rsid w:val="14176309"/>
    <w:rsid w:val="15B0331D"/>
    <w:rsid w:val="16193AF9"/>
    <w:rsid w:val="162869DC"/>
    <w:rsid w:val="16CD612A"/>
    <w:rsid w:val="17CF552F"/>
    <w:rsid w:val="186F25C2"/>
    <w:rsid w:val="1881753D"/>
    <w:rsid w:val="1959165B"/>
    <w:rsid w:val="19873924"/>
    <w:rsid w:val="1B224411"/>
    <w:rsid w:val="1B5605C0"/>
    <w:rsid w:val="1B791001"/>
    <w:rsid w:val="1C296650"/>
    <w:rsid w:val="1CC71FB4"/>
    <w:rsid w:val="1CD901DE"/>
    <w:rsid w:val="1DA6715E"/>
    <w:rsid w:val="1E4D72FC"/>
    <w:rsid w:val="1EB95C8A"/>
    <w:rsid w:val="1ECF312C"/>
    <w:rsid w:val="1F3266DC"/>
    <w:rsid w:val="1FF852C1"/>
    <w:rsid w:val="20AC324F"/>
    <w:rsid w:val="215B1F7A"/>
    <w:rsid w:val="22550E50"/>
    <w:rsid w:val="2263523D"/>
    <w:rsid w:val="23137DB3"/>
    <w:rsid w:val="235F0399"/>
    <w:rsid w:val="23867F0E"/>
    <w:rsid w:val="238B11DB"/>
    <w:rsid w:val="23B83459"/>
    <w:rsid w:val="23C003E5"/>
    <w:rsid w:val="241950E4"/>
    <w:rsid w:val="24B96E04"/>
    <w:rsid w:val="256822B8"/>
    <w:rsid w:val="26067F17"/>
    <w:rsid w:val="26280126"/>
    <w:rsid w:val="272C40F8"/>
    <w:rsid w:val="27844024"/>
    <w:rsid w:val="28703CE4"/>
    <w:rsid w:val="2A176EDF"/>
    <w:rsid w:val="2AA97A6B"/>
    <w:rsid w:val="2AD60A74"/>
    <w:rsid w:val="2C131AEC"/>
    <w:rsid w:val="2C44600C"/>
    <w:rsid w:val="2CD57A37"/>
    <w:rsid w:val="2D4529DA"/>
    <w:rsid w:val="2D516F61"/>
    <w:rsid w:val="2D7D77BA"/>
    <w:rsid w:val="2DE0070F"/>
    <w:rsid w:val="2E25172F"/>
    <w:rsid w:val="2F737C78"/>
    <w:rsid w:val="300A5F4E"/>
    <w:rsid w:val="306B2C93"/>
    <w:rsid w:val="30890922"/>
    <w:rsid w:val="30BC5011"/>
    <w:rsid w:val="32641583"/>
    <w:rsid w:val="32A84206"/>
    <w:rsid w:val="33140223"/>
    <w:rsid w:val="334767FD"/>
    <w:rsid w:val="35081B34"/>
    <w:rsid w:val="35DB4644"/>
    <w:rsid w:val="36525E3D"/>
    <w:rsid w:val="36D514E1"/>
    <w:rsid w:val="37D419A2"/>
    <w:rsid w:val="380A67F6"/>
    <w:rsid w:val="38CD240F"/>
    <w:rsid w:val="3AB974D6"/>
    <w:rsid w:val="3B331BAE"/>
    <w:rsid w:val="3B7E3886"/>
    <w:rsid w:val="3B877390"/>
    <w:rsid w:val="3CA02B27"/>
    <w:rsid w:val="3CD121B3"/>
    <w:rsid w:val="3E7B1A92"/>
    <w:rsid w:val="3EAB5CDF"/>
    <w:rsid w:val="3EE30857"/>
    <w:rsid w:val="3F3B5ECE"/>
    <w:rsid w:val="3F9736E5"/>
    <w:rsid w:val="3FAB1E52"/>
    <w:rsid w:val="3FD22E55"/>
    <w:rsid w:val="408B468B"/>
    <w:rsid w:val="40931441"/>
    <w:rsid w:val="43676B1C"/>
    <w:rsid w:val="43986059"/>
    <w:rsid w:val="439C60E3"/>
    <w:rsid w:val="45A33009"/>
    <w:rsid w:val="46C779A4"/>
    <w:rsid w:val="47AA69FA"/>
    <w:rsid w:val="47DF1131"/>
    <w:rsid w:val="484F7742"/>
    <w:rsid w:val="491A6632"/>
    <w:rsid w:val="49A77553"/>
    <w:rsid w:val="4A546687"/>
    <w:rsid w:val="4BCC12DA"/>
    <w:rsid w:val="4BF276CD"/>
    <w:rsid w:val="4C026216"/>
    <w:rsid w:val="4C43312A"/>
    <w:rsid w:val="4C801F39"/>
    <w:rsid w:val="4DB35C7B"/>
    <w:rsid w:val="50501DE4"/>
    <w:rsid w:val="5082437C"/>
    <w:rsid w:val="523928F0"/>
    <w:rsid w:val="52D06201"/>
    <w:rsid w:val="53514F38"/>
    <w:rsid w:val="53B71CF1"/>
    <w:rsid w:val="53BF33DB"/>
    <w:rsid w:val="54A04116"/>
    <w:rsid w:val="55175A6D"/>
    <w:rsid w:val="55330C34"/>
    <w:rsid w:val="5536565D"/>
    <w:rsid w:val="55887C51"/>
    <w:rsid w:val="56207A2E"/>
    <w:rsid w:val="56536926"/>
    <w:rsid w:val="56BD79D0"/>
    <w:rsid w:val="56F02AB0"/>
    <w:rsid w:val="57AC35EB"/>
    <w:rsid w:val="585F650D"/>
    <w:rsid w:val="588F7628"/>
    <w:rsid w:val="58A0677D"/>
    <w:rsid w:val="58B967D1"/>
    <w:rsid w:val="59F41E9B"/>
    <w:rsid w:val="5A3D7E0B"/>
    <w:rsid w:val="5AAB4BB1"/>
    <w:rsid w:val="5AF946CE"/>
    <w:rsid w:val="5C555EA1"/>
    <w:rsid w:val="5D947B12"/>
    <w:rsid w:val="5DA74D4B"/>
    <w:rsid w:val="5EB15F89"/>
    <w:rsid w:val="5FA735CC"/>
    <w:rsid w:val="5FEE7081"/>
    <w:rsid w:val="617B5E26"/>
    <w:rsid w:val="62366D28"/>
    <w:rsid w:val="635F1369"/>
    <w:rsid w:val="64586675"/>
    <w:rsid w:val="647C5785"/>
    <w:rsid w:val="64802EA8"/>
    <w:rsid w:val="64FC6D1F"/>
    <w:rsid w:val="65024730"/>
    <w:rsid w:val="653E4B77"/>
    <w:rsid w:val="654C7F76"/>
    <w:rsid w:val="65E27565"/>
    <w:rsid w:val="67857504"/>
    <w:rsid w:val="67BB0B57"/>
    <w:rsid w:val="67D60E56"/>
    <w:rsid w:val="67F51F05"/>
    <w:rsid w:val="68451483"/>
    <w:rsid w:val="6904629C"/>
    <w:rsid w:val="695713FC"/>
    <w:rsid w:val="69830DFA"/>
    <w:rsid w:val="6A3A2F5B"/>
    <w:rsid w:val="6A5D10E0"/>
    <w:rsid w:val="6A9A6170"/>
    <w:rsid w:val="6BFA6A04"/>
    <w:rsid w:val="6C24078C"/>
    <w:rsid w:val="6C3E2C0C"/>
    <w:rsid w:val="6C71012A"/>
    <w:rsid w:val="6C9E5BE0"/>
    <w:rsid w:val="6CC50388"/>
    <w:rsid w:val="6F5653A7"/>
    <w:rsid w:val="71132052"/>
    <w:rsid w:val="71553766"/>
    <w:rsid w:val="730B2FBD"/>
    <w:rsid w:val="739A0B4C"/>
    <w:rsid w:val="74076590"/>
    <w:rsid w:val="74F87E28"/>
    <w:rsid w:val="74F904AD"/>
    <w:rsid w:val="751C1F6E"/>
    <w:rsid w:val="75D5636F"/>
    <w:rsid w:val="767115F8"/>
    <w:rsid w:val="77475482"/>
    <w:rsid w:val="776047E4"/>
    <w:rsid w:val="77FC2D5D"/>
    <w:rsid w:val="785359E2"/>
    <w:rsid w:val="78B84FEB"/>
    <w:rsid w:val="7ABE7519"/>
    <w:rsid w:val="7CA6742C"/>
    <w:rsid w:val="7DC02EF8"/>
    <w:rsid w:val="7E2871D9"/>
    <w:rsid w:val="7F6D6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35"/>
    <w:qFormat/>
    <w:uiPriority w:val="0"/>
    <w:rPr>
      <w:sz w:val="18"/>
    </w:rPr>
  </w:style>
  <w:style w:type="paragraph" w:styleId="7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3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Hyperlink"/>
    <w:basedOn w:val="12"/>
    <w:qFormat/>
    <w:uiPriority w:val="0"/>
    <w:rPr>
      <w:color w:val="0563C1"/>
      <w:u w:val="single"/>
    </w:rPr>
  </w:style>
  <w:style w:type="character" w:customStyle="1" w:styleId="16">
    <w:name w:val="17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0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8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20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15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6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9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21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22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23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6">
    <w:name w:val="24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7">
    <w:name w:val="标题 3 Char"/>
    <w:basedOn w:val="12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8">
    <w:name w:val="标题 4 Char"/>
    <w:basedOn w:val="12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9">
    <w:name w:val="标题 1 Char"/>
    <w:basedOn w:val="12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30">
    <w:name w:val="标题 2 Char"/>
    <w:basedOn w:val="12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31">
    <w:name w:val="标题 5 Char"/>
    <w:basedOn w:val="12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32">
    <w:name w:val="标题 6 Char"/>
    <w:basedOn w:val="12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33">
    <w:name w:val="HTML 预设格式 Char"/>
    <w:basedOn w:val="12"/>
    <w:qFormat/>
    <w:uiPriority w:val="0"/>
    <w:rPr>
      <w:rFonts w:ascii="Courier New" w:hAnsi="Courier New" w:eastAsia="宋体" w:cs="Courier New"/>
    </w:rPr>
  </w:style>
  <w:style w:type="paragraph" w:customStyle="1" w:styleId="34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35">
    <w:name w:val="批注框文本 Char"/>
    <w:basedOn w:val="12"/>
    <w:link w:val="6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6">
    <w:name w:val="页眉 Char"/>
    <w:basedOn w:val="12"/>
    <w:link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7">
    <w:name w:val="页脚 Char"/>
    <w:basedOn w:val="12"/>
    <w:link w:val="7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8">
    <w:name w:val="40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39">
    <w:name w:val="36"/>
    <w:basedOn w:val="12"/>
    <w:qFormat/>
    <w:uiPriority w:val="0"/>
    <w:rPr>
      <w:rFonts w:hint="default" w:ascii="Times New Roman" w:hAnsi="Times New Roman" w:cs="Times New Roman"/>
      <w:color w:val="FFFFFF"/>
      <w:spacing w:val="0"/>
    </w:rPr>
  </w:style>
  <w:style w:type="character" w:customStyle="1" w:styleId="40">
    <w:name w:val="32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41">
    <w:name w:val="44"/>
    <w:basedOn w:val="12"/>
    <w:qFormat/>
    <w:uiPriority w:val="0"/>
    <w:rPr>
      <w:rFonts w:hint="default" w:ascii="Arial" w:hAnsi="Arial" w:cs="Arial"/>
      <w:b/>
      <w:color w:val="3F3F3F"/>
    </w:rPr>
  </w:style>
  <w:style w:type="character" w:customStyle="1" w:styleId="42">
    <w:name w:val="59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3">
    <w:name w:val="34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47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53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31"/>
    <w:basedOn w:val="12"/>
    <w:qFormat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47">
    <w:name w:val="42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48">
    <w:name w:val="46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49">
    <w:name w:val="27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50">
    <w:name w:val="60"/>
    <w:basedOn w:val="12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51">
    <w:name w:val="29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52">
    <w:name w:val="35"/>
    <w:basedOn w:val="12"/>
    <w:qFormat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53">
    <w:name w:val="50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54">
    <w:name w:val="37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55">
    <w:name w:val="25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56">
    <w:name w:val="39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57">
    <w:name w:val="51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58">
    <w:name w:val="26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59">
    <w:name w:val="28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60">
    <w:name w:val="41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1">
    <w:name w:val="30"/>
    <w:basedOn w:val="12"/>
    <w:qFormat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62">
    <w:name w:val="38"/>
    <w:basedOn w:val="12"/>
    <w:qFormat/>
    <w:uiPriority w:val="0"/>
    <w:rPr>
      <w:rFonts w:hint="default" w:ascii="Times New Roman" w:hAnsi="Times New Roman" w:cs="Times New Roman"/>
      <w:b/>
      <w:color w:val="000000"/>
      <w:spacing w:val="0"/>
    </w:rPr>
  </w:style>
  <w:style w:type="character" w:customStyle="1" w:styleId="63">
    <w:name w:val="33"/>
    <w:basedOn w:val="12"/>
    <w:qFormat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64">
    <w:name w:val="43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5">
    <w:name w:val="45"/>
    <w:basedOn w:val="12"/>
    <w:qFormat/>
    <w:uiPriority w:val="0"/>
    <w:rPr>
      <w:rFonts w:hint="default" w:ascii="Arial" w:hAnsi="Arial" w:cs="Arial"/>
      <w:b/>
      <w:color w:val="000000"/>
      <w:spacing w:val="8"/>
      <w:sz w:val="20"/>
      <w:szCs w:val="20"/>
    </w:rPr>
  </w:style>
  <w:style w:type="character" w:customStyle="1" w:styleId="66">
    <w:name w:val="48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7">
    <w:name w:val="49"/>
    <w:basedOn w:val="12"/>
    <w:qFormat/>
    <w:uiPriority w:val="0"/>
    <w:rPr>
      <w:rFonts w:hint="default" w:ascii="Times New Roman" w:hAnsi="Times New Roman" w:cs="Times New Roman"/>
      <w:b/>
    </w:rPr>
  </w:style>
  <w:style w:type="character" w:customStyle="1" w:styleId="68">
    <w:name w:val="52"/>
    <w:basedOn w:val="12"/>
    <w:qFormat/>
    <w:uiPriority w:val="0"/>
    <w:rPr>
      <w:rFonts w:hint="default" w:ascii="Times New Roman" w:hAnsi="Times New Roman" w:cs="Times New Roman"/>
      <w:b/>
      <w:color w:val="2E97DC"/>
    </w:rPr>
  </w:style>
  <w:style w:type="character" w:customStyle="1" w:styleId="69">
    <w:name w:val="54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70">
    <w:name w:val="55"/>
    <w:basedOn w:val="12"/>
    <w:qFormat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71">
    <w:name w:val="56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72">
    <w:name w:val="57"/>
    <w:basedOn w:val="12"/>
    <w:qFormat/>
    <w:uiPriority w:val="0"/>
    <w:rPr>
      <w:rFonts w:hint="default" w:ascii="Courier" w:hAnsi="Courier" w:cs="Courier"/>
      <w:b/>
      <w:color w:val="000000"/>
      <w:spacing w:val="0"/>
      <w:sz w:val="22"/>
      <w:szCs w:val="22"/>
    </w:rPr>
  </w:style>
  <w:style w:type="character" w:customStyle="1" w:styleId="73">
    <w:name w:val="58"/>
    <w:basedOn w:val="12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74">
    <w:name w:val="61"/>
    <w:basedOn w:val="12"/>
    <w:qFormat/>
    <w:uiPriority w:val="0"/>
    <w:rPr>
      <w:rFonts w:hint="eastAsia" w:ascii="宋体" w:hAnsi="宋体" w:eastAsia="宋体" w:cs="宋体"/>
      <w:sz w:val="18"/>
      <w:szCs w:val="18"/>
    </w:rPr>
  </w:style>
  <w:style w:type="paragraph" w:customStyle="1" w:styleId="75">
    <w:name w:val="p0"/>
    <w:basedOn w:val="1"/>
    <w:uiPriority w:val="0"/>
    <w:pPr>
      <w:keepNext w:val="0"/>
      <w:keepLines w:val="0"/>
      <w:widowControl/>
      <w:suppressLineNumbers w:val="0"/>
      <w:snapToGrid w:val="0"/>
      <w:spacing w:before="0" w:beforeAutospacing="0" w:after="200" w:afterAutospacing="0"/>
      <w:ind w:left="0" w:right="0"/>
      <w:jc w:val="left"/>
    </w:pPr>
    <w:rPr>
      <w:rFonts w:hint="default" w:ascii="Tahoma" w:hAnsi="Tahoma" w:eastAsia="宋体" w:cs="Tahoma"/>
      <w:kern w:val="0"/>
      <w:sz w:val="22"/>
      <w:szCs w:val="22"/>
      <w:lang w:val="en-US" w:eastAsia="zh-CN" w:bidi="ar"/>
    </w:rPr>
  </w:style>
  <w:style w:type="character" w:customStyle="1" w:styleId="76">
    <w:name w:val="quote"/>
    <w:basedOn w:val="12"/>
    <w:uiPriority w:val="0"/>
    <w:rPr>
      <w:color w:val="6B6B6B"/>
      <w:sz w:val="12"/>
      <w:szCs w:val="12"/>
    </w:rPr>
  </w:style>
  <w:style w:type="character" w:customStyle="1" w:styleId="77">
    <w:name w:val="quote1"/>
    <w:basedOn w:val="12"/>
    <w:uiPriority w:val="0"/>
    <w:rPr>
      <w:color w:val="6B6B6B"/>
      <w:sz w:val="12"/>
      <w:szCs w:val="12"/>
    </w:rPr>
  </w:style>
  <w:style w:type="character" w:customStyle="1" w:styleId="78">
    <w:name w:val="quote2"/>
    <w:basedOn w:val="12"/>
    <w:uiPriority w:val="0"/>
    <w:rPr>
      <w:color w:val="6B6B6B"/>
      <w:sz w:val="12"/>
      <w:szCs w:val="12"/>
    </w:rPr>
  </w:style>
  <w:style w:type="character" w:customStyle="1" w:styleId="79">
    <w:name w:val="quote3"/>
    <w:basedOn w:val="12"/>
    <w:uiPriority w:val="0"/>
    <w:rPr>
      <w:color w:val="6B6B6B"/>
      <w:sz w:val="12"/>
      <w:szCs w:val="12"/>
    </w:rPr>
  </w:style>
  <w:style w:type="character" w:customStyle="1" w:styleId="80">
    <w:name w:val="article-type"/>
    <w:basedOn w:val="12"/>
    <w:uiPriority w:val="0"/>
  </w:style>
  <w:style w:type="character" w:customStyle="1" w:styleId="81">
    <w:name w:val="article-type1"/>
    <w:basedOn w:val="12"/>
    <w:uiPriority w:val="0"/>
    <w:rPr>
      <w:sz w:val="12"/>
      <w:szCs w:val="12"/>
    </w:rPr>
  </w:style>
  <w:style w:type="character" w:customStyle="1" w:styleId="82">
    <w:name w:val="close-bt"/>
    <w:basedOn w:val="12"/>
    <w:uiPriority w:val="0"/>
  </w:style>
  <w:style w:type="character" w:customStyle="1" w:styleId="83">
    <w:name w:val="close-bt1"/>
    <w:basedOn w:val="12"/>
    <w:uiPriority w:val="0"/>
  </w:style>
  <w:style w:type="character" w:customStyle="1" w:styleId="84">
    <w:name w:val="count"/>
    <w:basedOn w:val="12"/>
    <w:uiPriority w:val="0"/>
    <w:rPr>
      <w:color w:val="858585"/>
      <w:sz w:val="12"/>
      <w:szCs w:val="12"/>
    </w:rPr>
  </w:style>
  <w:style w:type="character" w:customStyle="1" w:styleId="85">
    <w:name w:val="tip"/>
    <w:basedOn w:val="12"/>
    <w:uiPriority w:val="0"/>
    <w:rPr>
      <w:color w:val="999999"/>
      <w:sz w:val="12"/>
      <w:szCs w:val="12"/>
    </w:rPr>
  </w:style>
  <w:style w:type="character" w:customStyle="1" w:styleId="86">
    <w:name w:val="tip1"/>
    <w:basedOn w:val="12"/>
    <w:uiPriority w:val="0"/>
    <w:rPr>
      <w:color w:val="999999"/>
      <w:sz w:val="12"/>
      <w:szCs w:val="12"/>
    </w:rPr>
  </w:style>
  <w:style w:type="character" w:customStyle="1" w:styleId="87">
    <w:name w:val="hover13"/>
    <w:basedOn w:val="12"/>
    <w:qFormat/>
    <w:uiPriority w:val="0"/>
    <w:rPr>
      <w:color w:val="CA0C16"/>
      <w:bdr w:val="single" w:color="CA0C16" w:sz="4" w:space="0"/>
    </w:rPr>
  </w:style>
  <w:style w:type="character" w:customStyle="1" w:styleId="88">
    <w:name w:val="reward-word"/>
    <w:basedOn w:val="12"/>
    <w:uiPriority w:val="0"/>
    <w:rPr>
      <w:color w:val="4F4F4F"/>
      <w:sz w:val="14"/>
      <w:szCs w:val="14"/>
      <w:vertAlign w:val="superscript"/>
    </w:rPr>
  </w:style>
  <w:style w:type="character" w:customStyle="1" w:styleId="89">
    <w:name w:val="txt"/>
    <w:basedOn w:val="12"/>
    <w:uiPriority w:val="0"/>
  </w:style>
  <w:style w:type="character" w:customStyle="1" w:styleId="90">
    <w:name w:val="nth-child(3n+1)"/>
    <w:basedOn w:val="12"/>
    <w:uiPriority w:val="0"/>
  </w:style>
  <w:style w:type="character" w:customStyle="1" w:styleId="91">
    <w:name w:val="point2"/>
    <w:basedOn w:val="12"/>
    <w:uiPriority w:val="0"/>
    <w:rPr>
      <w:shd w:val="clear" w:fill="E0E0E0"/>
    </w:rPr>
  </w:style>
  <w:style w:type="character" w:customStyle="1" w:styleId="92">
    <w:name w:val="reward-close"/>
    <w:basedOn w:val="12"/>
    <w:uiPriority w:val="0"/>
  </w:style>
  <w:style w:type="character" w:customStyle="1" w:styleId="93">
    <w:name w:val="vip-get"/>
    <w:basedOn w:val="12"/>
    <w:uiPriority w:val="0"/>
    <w:rPr>
      <w:color w:val="FF5A52"/>
      <w:sz w:val="14"/>
      <w:szCs w:val="14"/>
    </w:rPr>
  </w:style>
  <w:style w:type="character" w:customStyle="1" w:styleId="94">
    <w:name w:val="choosed"/>
    <w:basedOn w:val="12"/>
    <w:uiPriority w:val="0"/>
    <w:rPr>
      <w:color w:val="CA0C16"/>
      <w:bdr w:val="single" w:color="CA0C16" w:sz="4" w:space="0"/>
    </w:rPr>
  </w:style>
  <w:style w:type="character" w:customStyle="1" w:styleId="95">
    <w:name w:val="red"/>
    <w:basedOn w:val="12"/>
    <w:uiPriority w:val="0"/>
    <w:rPr>
      <w:color w:val="FF0000"/>
    </w:rPr>
  </w:style>
  <w:style w:type="character" w:customStyle="1" w:styleId="96">
    <w:name w:val="num1"/>
    <w:basedOn w:val="12"/>
    <w:uiPriority w:val="0"/>
    <w:rPr>
      <w:color w:val="3399E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240</Words>
  <Characters>252</Characters>
  <Lines>0</Lines>
  <Paragraphs>0</Paragraphs>
  <TotalTime>5</TotalTime>
  <ScaleCrop>false</ScaleCrop>
  <LinksUpToDate>false</LinksUpToDate>
  <CharactersWithSpaces>322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2019-11-21T03:29:14Z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